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F972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9E5F4C" w:rsidRPr="009E5F4C">
        <w:rPr>
          <w:rFonts w:ascii="Times New Roman" w:hAnsi="Times New Roman" w:cs="Times New Roman"/>
          <w:sz w:val="28"/>
          <w:szCs w:val="28"/>
        </w:rPr>
        <w:t>P001-5082156711-105151702 от 27.11.2025</w:t>
      </w:r>
      <w:bookmarkStart w:id="0" w:name="_GoBack"/>
      <w:bookmarkEnd w:id="0"/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>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F97231" w:rsidRPr="00F97231">
        <w:rPr>
          <w:rFonts w:ascii="Times New Roman" w:hAnsi="Times New Roman" w:cs="Times New Roman"/>
          <w:sz w:val="28"/>
          <w:szCs w:val="28"/>
        </w:rPr>
        <w:t>50:14:0040130:2070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F97231" w:rsidRPr="00F97231">
        <w:rPr>
          <w:rFonts w:ascii="Times New Roman" w:hAnsi="Times New Roman" w:cs="Times New Roman"/>
          <w:sz w:val="28"/>
          <w:szCs w:val="28"/>
        </w:rPr>
        <w:t>Московская область, Щелковский район, вблизи дер. Медвежьи Озера (территория бывшего аэродрома),</w:t>
      </w:r>
      <w:r w:rsidR="00F97231">
        <w:rPr>
          <w:rFonts w:ascii="Times New Roman" w:hAnsi="Times New Roman" w:cs="Times New Roman"/>
          <w:sz w:val="28"/>
          <w:szCs w:val="28"/>
        </w:rPr>
        <w:t xml:space="preserve"> </w:t>
      </w:r>
      <w:r w:rsidR="00F97231" w:rsidRPr="00F97231">
        <w:rPr>
          <w:rFonts w:ascii="Times New Roman" w:hAnsi="Times New Roman" w:cs="Times New Roman"/>
          <w:sz w:val="28"/>
          <w:szCs w:val="28"/>
        </w:rPr>
        <w:t xml:space="preserve">СПК </w:t>
      </w:r>
      <w:r w:rsidR="00F97231">
        <w:rPr>
          <w:rFonts w:ascii="Times New Roman" w:hAnsi="Times New Roman" w:cs="Times New Roman"/>
          <w:sz w:val="28"/>
          <w:szCs w:val="28"/>
        </w:rPr>
        <w:t>«Простор»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97231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2025-11-28T06:39:00Z</dcterms:created>
  <dcterms:modified xsi:type="dcterms:W3CDTF">2025-11-28T06:39:00Z</dcterms:modified>
</cp:coreProperties>
</file>